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Пояснительная записка</w:t>
      </w:r>
    </w:p>
    <w:p>
      <w:pPr>
        <w:pStyle w:val="Normal"/>
        <w:shd w:val="clear" w:color="auto" w:fill="FFFFFF" w:themeFill="background1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 проекту постановления Правительства Камчатского края</w:t>
      </w:r>
    </w:p>
    <w:p>
      <w:pPr>
        <w:pStyle w:val="Normal"/>
        <w:shd w:val="clear" w:color="auto" w:fill="FFFFFF" w:themeFill="background1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«О внесении изменений в государственную программу Камчатского края </w:t>
      </w:r>
    </w:p>
    <w:p>
      <w:pPr>
        <w:pStyle w:val="Normal"/>
        <w:shd w:val="clear" w:color="auto" w:fill="FFFFFF" w:themeFill="background1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«Обеспечение доступным и комфортным жильем жителей Камчатского края», утвержденную постановлением Правительства Камчатского края</w:t>
      </w:r>
    </w:p>
    <w:p>
      <w:pPr>
        <w:pStyle w:val="Normal"/>
        <w:shd w:val="clear" w:color="auto" w:fill="FFFFFF" w:themeFill="background1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от 22.11.2013 № 520-П</w:t>
      </w:r>
    </w:p>
    <w:p>
      <w:pPr>
        <w:pStyle w:val="Normal"/>
        <w:shd w:val="clear" w:color="auto" w:fill="FFFFFF" w:themeFill="background1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  <w:t>Настоящий проект постановления «О внесении изменений в государственную программу Камчатского края «Обеспечение доступным и комфортным жильем жителей Камчатского края», утвержденную постановлением Правительства Камчатского края от 22.11.2013 № 520-П (далее соответственно – Проект постановления, Государственная программа) разработан в целях: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  <w:t>1) приведения объема предусмотренных ассигнований Государственной программы на</w:t>
      </w:r>
      <w:r>
        <w:rPr>
          <w:rFonts w:eastAsia="Times New Roman" w:cs="Times New Roman" w:ascii="Times New Roman" w:hAnsi="Times New Roman"/>
          <w:color w:val="000000"/>
          <w:sz w:val="28"/>
          <w:szCs w:val="24"/>
        </w:rPr>
        <w:t xml:space="preserve"> 2023 год и плановый период 2024 и 2025 годов в соответствие </w:t>
      </w:r>
      <w:r>
        <w:rPr>
          <w:rFonts w:eastAsia="Times New Roman" w:cs="Times New Roman" w:ascii="Times New Roman" w:hAnsi="Times New Roman"/>
          <w:i/>
          <w:color w:val="000000"/>
          <w:sz w:val="28"/>
          <w:szCs w:val="24"/>
        </w:rPr>
        <w:t xml:space="preserve">со сводной бюджетной росписью по состоянию на 24.10.2023 на 2023 и плановый период 2025 годов; 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исполнения пункта 1.4 протокола заседания рабочей группы по инвентаризации системы мер социальной поддержки в Камчатском крае от 21.06.2023, под председательством Председателя Правительства Камчатского края Чекина Е.А. с целью внесения изменени</w:t>
      </w:r>
      <w:r>
        <w:rPr>
          <w:rFonts w:ascii="Times New Roman" w:hAnsi="Times New Roman"/>
          <w:sz w:val="28"/>
          <w:lang w:val="ru-RU"/>
        </w:rPr>
        <w:t>я</w:t>
      </w:r>
      <w:r>
        <w:rPr>
          <w:rFonts w:ascii="Times New Roman" w:hAnsi="Times New Roman"/>
          <w:sz w:val="28"/>
        </w:rPr>
        <w:t xml:space="preserve"> в </w:t>
      </w:r>
      <w:r>
        <w:rPr>
          <w:rFonts w:ascii="Times New Roman" w:hAnsi="Times New Roman"/>
          <w:sz w:val="28"/>
          <w:lang w:val="ru-RU"/>
        </w:rPr>
        <w:t xml:space="preserve">подпрограмму 7 «Развитие ипотечного жилищного кредитования» </w:t>
      </w:r>
      <w:r>
        <w:rPr>
          <w:rFonts w:ascii="Times New Roman" w:hAnsi="Times New Roman"/>
          <w:sz w:val="28"/>
        </w:rPr>
        <w:t>государственной программ</w:t>
      </w:r>
      <w:r>
        <w:rPr>
          <w:rFonts w:ascii="Times New Roman" w:hAnsi="Times New Roman"/>
          <w:sz w:val="28"/>
          <w:lang w:val="ru-RU"/>
        </w:rPr>
        <w:t>ы</w:t>
      </w:r>
      <w:r>
        <w:rPr>
          <w:rFonts w:ascii="Times New Roman" w:hAnsi="Times New Roman"/>
          <w:sz w:val="28"/>
        </w:rPr>
        <w:t xml:space="preserve"> Камчатского края «Обеспечение доступным и комфортным жильем жителей Камчатского края», утвержденной постановлением Правительства Камчатского края от 22.11.2013 № 520-П» (далее – Программа)</w:t>
      </w:r>
      <w:r>
        <w:rPr>
          <w:rFonts w:ascii="Times New Roman" w:hAnsi="Times New Roman"/>
          <w:sz w:val="28"/>
          <w:lang w:val="ru-RU"/>
        </w:rPr>
        <w:t xml:space="preserve">, предусматривающего </w:t>
      </w:r>
      <w:r>
        <w:rPr>
          <w:rFonts w:ascii="Times New Roman" w:hAnsi="Times New Roman"/>
          <w:sz w:val="28"/>
        </w:rPr>
        <w:t xml:space="preserve">исключение из числа лиц, претендующих на получение социальных выплат на уплату первоначального взноса по ипотечному жилищному кредиту (займу) на приобретение жилого помещения в Камчатском крае, предоставляемому кредитными и иными организациями, реализующими программы ипотечного жилищного кредитования (заимствования) в Камчатском крае, работников органов местного самоуправления муниципальных образований в Камчатском крае и работников муниципальных учреждений, муниципальных унитарных предприятий в Камчатском крае, обеспечиваемых аналогичными мерами в рамках соответствующих муниципальных программ. </w:t>
      </w:r>
    </w:p>
    <w:p>
      <w:pPr>
        <w:pStyle w:val="Normal"/>
        <w:spacing w:lineRule="auto" w:line="240" w:before="0" w:after="0"/>
        <w:ind w:left="0" w:right="0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val="ru-RU"/>
        </w:rPr>
        <w:t>При этом, в</w:t>
      </w:r>
      <w:r>
        <w:rPr>
          <w:rFonts w:ascii="Times New Roman" w:hAnsi="Times New Roman"/>
          <w:sz w:val="28"/>
        </w:rPr>
        <w:t xml:space="preserve">ыделение (в том числе посредством замены одной категории получателей социальной выплаты на другую) в виде отдельной категории участников Программы </w:t>
      </w:r>
      <w:r>
        <w:rPr>
          <w:rFonts w:ascii="Times New Roman" w:hAnsi="Times New Roman"/>
          <w:sz w:val="28"/>
          <w:lang w:val="ru-RU"/>
        </w:rPr>
        <w:t xml:space="preserve">– </w:t>
      </w:r>
      <w:r>
        <w:rPr>
          <w:rFonts w:ascii="Times New Roman" w:hAnsi="Times New Roman"/>
          <w:sz w:val="28"/>
        </w:rPr>
        <w:t>медицинских работников</w:t>
      </w:r>
      <w:r>
        <w:rPr>
          <w:rFonts w:ascii="Times New Roman" w:hAnsi="Times New Roman"/>
          <w:sz w:val="28"/>
          <w:lang w:val="ru-RU"/>
        </w:rPr>
        <w:t>,</w:t>
      </w:r>
      <w:r>
        <w:rPr>
          <w:rFonts w:ascii="Times New Roman" w:hAnsi="Times New Roman"/>
          <w:sz w:val="28"/>
        </w:rPr>
        <w:t xml:space="preserve"> нецелесообразно, поскольку в рамках действующего правового регулирования медицинские работники, фактически являясь сотрудниками государственных учреждений Камчатского края, также при соблюдении иных, определенных Программой условий, имеют право на предоставление указанной социальной выплаты.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val="ru-RU"/>
        </w:rPr>
        <w:t>В связи с этим,</w:t>
      </w:r>
      <w:bookmarkStart w:id="0" w:name="_GoBack_Копия_1"/>
      <w:bookmarkEnd w:id="0"/>
      <w:r>
        <w:rPr>
          <w:rFonts w:ascii="Times New Roman" w:hAnsi="Times New Roman"/>
          <w:sz w:val="28"/>
          <w:lang w:val="ru-RU"/>
        </w:rPr>
        <w:t xml:space="preserve"> проектом постановления вносятся соответствующие изменения в </w:t>
      </w:r>
      <w:r>
        <w:rPr>
          <w:rFonts w:ascii="Times New Roman" w:hAnsi="Times New Roman"/>
          <w:sz w:val="28"/>
        </w:rPr>
        <w:t>подпункт «а» пункта 1 части 2</w:t>
      </w:r>
      <w:r>
        <w:rPr>
          <w:rFonts w:ascii="Times New Roman" w:hAnsi="Times New Roman"/>
          <w:sz w:val="28"/>
          <w:lang w:val="ru-RU"/>
        </w:rPr>
        <w:t xml:space="preserve"> Порядка предоставления социальной выплаты отдельным категориям граждан, проживающих в Камчатском крае, на уплату первоначального взноса по ипотечному жилищному кредиту (займу) на приобретение жилого помещения в Камчатском крае в рамках подпрограммы 7 «Развитие ипотечного жилищного кредитования» (приложение 11 к Программе).</w:t>
      </w:r>
    </w:p>
    <w:p>
      <w:pPr>
        <w:pStyle w:val="Normal"/>
        <w:spacing w:lineRule="auto" w:line="240" w:before="0" w:after="0"/>
        <w:ind w:hanging="0"/>
        <w:jc w:val="both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  <w:tab/>
        <w:t xml:space="preserve">Для реализации настоящего проекта постановления не потребуются дополнительные средства краевого бюджета. 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  <w:t>Проект постановления не подлежит оценке регулирующего воздействия в соответствии с постановлением Правительства Камчатского края от 28.09.2022 № 510-П «Об утверждении порядка проведения процедуры оценки регулирующего воздействия проектов нормативных правовых актов Камчатского края и порядка проведения экспертизы нормативных правовых актов Камчатского края».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  <w:t xml:space="preserve">В соответствии с пунктом 2 части 16 Положения о порядке проведения антикоррупционной экспертизы изданных исполнительными органами Камчатского края нормативных правовых актов Камчатского края и их проектов, утвержденного постановлением Правительства Камчатского края от 21.07.2022 № 386-П, проект постановления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в срок с </w:t>
      </w:r>
      <w:r>
        <w:rPr>
          <w:rFonts w:eastAsia="Times New Roman" w:cs="Times New Roman" w:ascii="Times New Roman" w:hAnsi="Times New Roman"/>
          <w:sz w:val="28"/>
          <w:szCs w:val="24"/>
        </w:rPr>
        <w:t>07</w:t>
      </w:r>
      <w:r>
        <w:rPr>
          <w:rFonts w:eastAsia="Times New Roman" w:cs="Times New Roman" w:ascii="Times New Roman" w:hAnsi="Times New Roman"/>
          <w:sz w:val="28"/>
          <w:szCs w:val="24"/>
        </w:rPr>
        <w:t>.</w:t>
      </w:r>
      <w:r>
        <w:rPr>
          <w:rFonts w:eastAsia="Times New Roman" w:cs="Times New Roman" w:ascii="Times New Roman" w:hAnsi="Times New Roman"/>
          <w:sz w:val="28"/>
          <w:szCs w:val="24"/>
        </w:rPr>
        <w:t>11</w:t>
      </w:r>
      <w:r>
        <w:rPr>
          <w:rFonts w:eastAsia="Times New Roman" w:cs="Times New Roman" w:ascii="Times New Roman" w:hAnsi="Times New Roman"/>
          <w:sz w:val="28"/>
          <w:szCs w:val="24"/>
        </w:rPr>
        <w:t xml:space="preserve">.2023 по </w:t>
      </w:r>
      <w:r>
        <w:rPr>
          <w:rFonts w:eastAsia="Times New Roman" w:cs="Times New Roman" w:ascii="Times New Roman" w:hAnsi="Times New Roman"/>
          <w:sz w:val="28"/>
          <w:szCs w:val="24"/>
        </w:rPr>
        <w:t>17</w:t>
      </w:r>
      <w:r>
        <w:rPr>
          <w:rFonts w:eastAsia="Times New Roman" w:cs="Times New Roman" w:ascii="Times New Roman" w:hAnsi="Times New Roman"/>
          <w:sz w:val="28"/>
          <w:szCs w:val="24"/>
        </w:rPr>
        <w:t>.</w:t>
      </w:r>
      <w:r>
        <w:rPr>
          <w:rFonts w:eastAsia="Times New Roman" w:cs="Times New Roman" w:ascii="Times New Roman" w:hAnsi="Times New Roman"/>
          <w:sz w:val="28"/>
          <w:szCs w:val="24"/>
        </w:rPr>
        <w:t>11</w:t>
      </w:r>
      <w:r>
        <w:rPr>
          <w:rFonts w:eastAsia="Times New Roman" w:cs="Times New Roman" w:ascii="Times New Roman" w:hAnsi="Times New Roman"/>
          <w:sz w:val="28"/>
          <w:szCs w:val="24"/>
        </w:rPr>
        <w:t>.2023.</w:t>
      </w:r>
    </w:p>
    <w:sectPr>
      <w:headerReference w:type="default" r:id="rId2"/>
      <w:headerReference w:type="first" r:id="rId3"/>
      <w:type w:val="nextPage"/>
      <w:pgSz w:w="11906" w:h="16838"/>
      <w:pgMar w:left="1418" w:right="851" w:gutter="0" w:header="567" w:top="1134" w:footer="0" w:bottom="1134"/>
      <w:pgNumType w:start="1" w:fmt="decimal"/>
      <w:formProt w:val="false"/>
      <w:titlePg/>
      <w:textDirection w:val="lrTb"/>
      <w:docGrid w:type="default" w:linePitch="360" w:charSpace="1228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026058541"/>
    </w:sdtPr>
    <w:sdtContent>
      <w:p>
        <w:pPr>
          <w:pStyle w:val="Style29"/>
          <w:jc w:val="center"/>
          <w:rPr>
            <w:rFonts w:ascii="Times New Roman" w:hAnsi="Times New Roman" w:cs="Times New Roman"/>
            <w:sz w:val="28"/>
          </w:rPr>
        </w:pPr>
        <w:r>
          <w:rPr>
            <w:rFonts w:cs="Times New Roman" w:ascii="Times New Roman" w:hAnsi="Times New Roman"/>
            <w:sz w:val="28"/>
          </w:rPr>
          <w:fldChar w:fldCharType="begin"/>
        </w:r>
        <w:r>
          <w:rPr>
            <w:sz w:val="28"/>
            <w:rFonts w:cs="Times New Roman" w:ascii="Times New Roman" w:hAnsi="Times New Roman"/>
          </w:rPr>
          <w:instrText xml:space="preserve"> PAGE </w:instrText>
        </w:r>
        <w:r>
          <w:rPr>
            <w:sz w:val="28"/>
            <w:rFonts w:cs="Times New Roman" w:ascii="Times New Roman" w:hAnsi="Times New Roman"/>
          </w:rPr>
          <w:fldChar w:fldCharType="separate"/>
        </w:r>
        <w:r>
          <w:rPr>
            <w:sz w:val="28"/>
            <w:rFonts w:cs="Times New Roman" w:ascii="Times New Roman" w:hAnsi="Times New Roman"/>
          </w:rPr>
          <w:t>2</w:t>
        </w:r>
        <w:r>
          <w:rPr>
            <w:sz w:val="28"/>
            <w:rFonts w:cs="Times New Roman" w:ascii="Times New Roman" w:hAnsi="Times New Roman"/>
          </w:rPr>
          <w:fldChar w:fldCharType="end"/>
        </w:r>
      </w:p>
    </w:sdtContent>
  </w:sdt>
  <w:p>
    <w:pPr>
      <w:pStyle w:val="Style29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9"/>
      <w:jc w:val="center"/>
      <w:rPr>
        <w:sz w:val="20"/>
      </w:rPr>
    </w:pPr>
    <w:r>
      <w:rPr>
        <w:sz w:val="20"/>
      </w:rPr>
    </w:r>
  </w:p>
  <w:p>
    <w:pPr>
      <w:pStyle w:val="Style29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next w:val="Normal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2">
    <w:name w:val="Heading 2"/>
    <w:basedOn w:val="Normal"/>
    <w:next w:val="Normal"/>
    <w:link w:val="21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3">
    <w:name w:val="Heading 3"/>
    <w:basedOn w:val="Normal"/>
    <w:next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4">
    <w:name w:val="Heading 4"/>
    <w:basedOn w:val="Normal"/>
    <w:next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5">
    <w:name w:val="Heading 5"/>
    <w:basedOn w:val="Normal"/>
    <w:next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">
    <w:name w:val="Heading 6"/>
    <w:basedOn w:val="Normal"/>
    <w:next w:val="Normal"/>
    <w:link w:val="61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7">
    <w:name w:val="Heading 7"/>
    <w:basedOn w:val="Normal"/>
    <w:next w:val="Normal"/>
    <w:link w:val="71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8">
    <w:name w:val="Heading 8"/>
    <w:basedOn w:val="Normal"/>
    <w:next w:val="Normal"/>
    <w:link w:val="81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9">
    <w:name w:val="Heading 9"/>
    <w:basedOn w:val="Normal"/>
    <w:next w:val="Normal"/>
    <w:link w:val="91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21" w:customStyle="1">
    <w:name w:val="Заголовок 2 Знак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31" w:customStyle="1">
    <w:name w:val="Заголовок 3 Знак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41" w:customStyle="1">
    <w:name w:val="Заголовок 4 Знак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51" w:customStyle="1">
    <w:name w:val="Заголовок 5 Знак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1" w:customStyle="1">
    <w:name w:val="Заголовок 6 Знак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1" w:customStyle="1">
    <w:name w:val="Заголовок 7 Знак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1" w:customStyle="1">
    <w:name w:val="Заголовок 8 Знак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91" w:customStyle="1">
    <w:name w:val="Заголовок 9 Знак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Style5" w:customStyle="1">
    <w:name w:val="Заголовок Знак"/>
    <w:basedOn w:val="DefaultParagraphFont"/>
    <w:uiPriority w:val="10"/>
    <w:qFormat/>
    <w:rPr>
      <w:sz w:val="48"/>
      <w:szCs w:val="48"/>
    </w:rPr>
  </w:style>
  <w:style w:type="character" w:styleId="Style6" w:customStyle="1">
    <w:name w:val="Подзаголовок Знак"/>
    <w:basedOn w:val="DefaultParagraphFont"/>
    <w:uiPriority w:val="11"/>
    <w:qFormat/>
    <w:rPr>
      <w:sz w:val="24"/>
      <w:szCs w:val="24"/>
    </w:rPr>
  </w:style>
  <w:style w:type="character" w:styleId="22" w:customStyle="1">
    <w:name w:val="Цитата 2 Знак"/>
    <w:link w:val="Quote"/>
    <w:uiPriority w:val="29"/>
    <w:qFormat/>
    <w:rPr>
      <w:i/>
    </w:rPr>
  </w:style>
  <w:style w:type="character" w:styleId="Style7" w:customStyle="1">
    <w:name w:val="Выделенная цитата Знак"/>
    <w:link w:val="IntenseQuote"/>
    <w:uiPriority w:val="30"/>
    <w:qFormat/>
    <w:rPr>
      <w:i/>
    </w:rPr>
  </w:style>
  <w:style w:type="character" w:styleId="HeaderChar" w:customStyle="1">
    <w:name w:val="Header Char"/>
    <w:basedOn w:val="DefaultParagraphFont"/>
    <w:uiPriority w:val="99"/>
    <w:qFormat/>
    <w:rPr/>
  </w:style>
  <w:style w:type="character" w:styleId="FooterChar" w:customStyle="1">
    <w:name w:val="Footer Char"/>
    <w:basedOn w:val="DefaultParagraphFont"/>
    <w:uiPriority w:val="99"/>
    <w:qFormat/>
    <w:rPr/>
  </w:style>
  <w:style w:type="character" w:styleId="CaptionChar" w:customStyle="1">
    <w:name w:val="Caption Char"/>
    <w:uiPriority w:val="99"/>
    <w:qFormat/>
    <w:rPr/>
  </w:style>
  <w:style w:type="character" w:styleId="Style8" w:customStyle="1">
    <w:name w:val="Текст сноски Знак"/>
    <w:uiPriority w:val="99"/>
    <w:qFormat/>
    <w:rPr>
      <w:sz w:val="18"/>
    </w:rPr>
  </w:style>
  <w:style w:type="character" w:styleId="Style9" w:customStyle="1">
    <w:name w:val="Символ сноски"/>
    <w:uiPriority w:val="99"/>
    <w:unhideWhenUsed/>
    <w:qFormat/>
    <w:rPr>
      <w:vertAlign w:val="superscript"/>
    </w:rPr>
  </w:style>
  <w:style w:type="character" w:styleId="Style10">
    <w:name w:val="Footnote Reference"/>
    <w:rPr>
      <w:vertAlign w:val="superscript"/>
    </w:rPr>
  </w:style>
  <w:style w:type="character" w:styleId="Style11" w:customStyle="1">
    <w:name w:val="Текст концевой сноски Знак"/>
    <w:uiPriority w:val="99"/>
    <w:qFormat/>
    <w:rPr>
      <w:sz w:val="20"/>
    </w:rPr>
  </w:style>
  <w:style w:type="character" w:styleId="Style12" w:customStyle="1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Style13">
    <w:name w:val="Endnote Reference"/>
    <w:rPr>
      <w:vertAlign w:val="superscript"/>
    </w:rPr>
  </w:style>
  <w:style w:type="character" w:styleId="-">
    <w:name w:val="Hyperlink"/>
    <w:basedOn w:val="DefaultParagraphFont"/>
    <w:uiPriority w:val="99"/>
    <w:semiHidden/>
    <w:unhideWhenUsed/>
    <w:rPr>
      <w:color w:val="0000FF"/>
      <w:u w:val="single"/>
    </w:rPr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styleId="Bx-messenger-ajax" w:customStyle="1">
    <w:name w:val="bx-messenger-ajax"/>
    <w:basedOn w:val="DefaultParagraphFont"/>
    <w:qFormat/>
    <w:rPr/>
  </w:style>
  <w:style w:type="character" w:styleId="Style15" w:customStyle="1">
    <w:name w:val="Верхний колонтитул Знак"/>
    <w:basedOn w:val="DefaultParagraphFont"/>
    <w:uiPriority w:val="99"/>
    <w:qFormat/>
    <w:rPr/>
  </w:style>
  <w:style w:type="character" w:styleId="Style16" w:customStyle="1">
    <w:name w:val="Нижний колонтитул Знак"/>
    <w:basedOn w:val="DefaultParagraphFont"/>
    <w:uiPriority w:val="99"/>
    <w:qFormat/>
    <w:rPr/>
  </w:style>
  <w:style w:type="character" w:styleId="12" w:customStyle="1">
    <w:name w:val="Обычный1"/>
    <w:qFormat/>
    <w:rsid w:val="009a32b7"/>
    <w:rPr>
      <w:rFonts w:ascii="Calibri" w:hAnsi="Calibri" w:asciiTheme="minorHAnsi" w:hAnsiTheme="minorHAnsi"/>
      <w:color w:val="000000"/>
      <w:sz w:val="22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before="0" w:after="140"/>
    </w:pPr>
    <w:rPr/>
  </w:style>
  <w:style w:type="paragraph" w:styleId="Style19">
    <w:name w:val="List"/>
    <w:basedOn w:val="Style18"/>
    <w:pPr/>
    <w:rPr>
      <w:rFonts w:cs="Lohit Devanagari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Style22">
    <w:name w:val="Title"/>
    <w:basedOn w:val="Normal"/>
    <w:next w:val="Style18"/>
    <w:link w:val="Style5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Caption">
    <w:name w:val="caption"/>
    <w:basedOn w:val="Normal"/>
    <w:next w:val="Normal"/>
    <w:uiPriority w:val="35"/>
    <w:semiHidden/>
    <w:unhideWhenUsed/>
    <w:qFormat/>
    <w:pPr/>
    <w:rPr>
      <w:b/>
      <w:bCs/>
      <w:color w:val="5B9BD5" w:themeColor="accent1"/>
      <w:sz w:val="18"/>
      <w:szCs w:val="18"/>
    </w:rPr>
  </w:style>
  <w:style w:type="paragraph" w:styleId="Indexheading">
    <w:name w:val="index heading"/>
    <w:basedOn w:val="Style22"/>
    <w:qFormat/>
    <w:pPr/>
    <w:rPr/>
  </w:style>
  <w:style w:type="paragraph" w:styleId="NoSpacing">
    <w:name w:val="No Spacing"/>
    <w:uiPriority w:val="1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23">
    <w:name w:val="Subtitle"/>
    <w:basedOn w:val="Normal"/>
    <w:next w:val="Normal"/>
    <w:link w:val="Style6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next w:val="Normal"/>
    <w:link w:val="22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next w:val="Normal"/>
    <w:link w:val="Style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 w:hanging="0"/>
    </w:pPr>
    <w:rPr>
      <w:i/>
    </w:rPr>
  </w:style>
  <w:style w:type="paragraph" w:styleId="Style24">
    <w:name w:val="Footnote Text"/>
    <w:basedOn w:val="Normal"/>
    <w:link w:val="Style8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Style25">
    <w:name w:val="Endnote Text"/>
    <w:basedOn w:val="Normal"/>
    <w:link w:val="Style11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13">
    <w:name w:val="TOC 1"/>
    <w:basedOn w:val="Normal"/>
    <w:next w:val="Normal"/>
    <w:uiPriority w:val="39"/>
    <w:unhideWhenUsed/>
    <w:pPr>
      <w:spacing w:before="0" w:after="57"/>
    </w:pPr>
    <w:rPr/>
  </w:style>
  <w:style w:type="paragraph" w:styleId="23">
    <w:name w:val="TOC 2"/>
    <w:basedOn w:val="Normal"/>
    <w:next w:val="Normal"/>
    <w:uiPriority w:val="39"/>
    <w:unhideWhenUsed/>
    <w:pPr>
      <w:spacing w:before="0" w:after="57"/>
      <w:ind w:left="283" w:hanging="0"/>
    </w:pPr>
    <w:rPr/>
  </w:style>
  <w:style w:type="paragraph" w:styleId="32">
    <w:name w:val="TOC 3"/>
    <w:basedOn w:val="Normal"/>
    <w:next w:val="Normal"/>
    <w:uiPriority w:val="39"/>
    <w:unhideWhenUsed/>
    <w:pPr>
      <w:spacing w:before="0" w:after="57"/>
      <w:ind w:left="567" w:hanging="0"/>
    </w:pPr>
    <w:rPr/>
  </w:style>
  <w:style w:type="paragraph" w:styleId="42">
    <w:name w:val="TOC 4"/>
    <w:basedOn w:val="Normal"/>
    <w:next w:val="Normal"/>
    <w:uiPriority w:val="39"/>
    <w:unhideWhenUsed/>
    <w:pPr>
      <w:spacing w:before="0" w:after="57"/>
      <w:ind w:left="850" w:hanging="0"/>
    </w:pPr>
    <w:rPr/>
  </w:style>
  <w:style w:type="paragraph" w:styleId="52">
    <w:name w:val="TOC 5"/>
    <w:basedOn w:val="Normal"/>
    <w:next w:val="Normal"/>
    <w:uiPriority w:val="39"/>
    <w:unhideWhenUsed/>
    <w:pPr>
      <w:spacing w:before="0" w:after="57"/>
      <w:ind w:left="1134" w:hanging="0"/>
    </w:pPr>
    <w:rPr/>
  </w:style>
  <w:style w:type="paragraph" w:styleId="62">
    <w:name w:val="TOC 6"/>
    <w:basedOn w:val="Normal"/>
    <w:next w:val="Normal"/>
    <w:uiPriority w:val="39"/>
    <w:unhideWhenUsed/>
    <w:pPr>
      <w:spacing w:before="0" w:after="57"/>
      <w:ind w:left="1417" w:hanging="0"/>
    </w:pPr>
    <w:rPr/>
  </w:style>
  <w:style w:type="paragraph" w:styleId="72">
    <w:name w:val="TOC 7"/>
    <w:basedOn w:val="Normal"/>
    <w:next w:val="Normal"/>
    <w:uiPriority w:val="39"/>
    <w:unhideWhenUsed/>
    <w:pPr>
      <w:spacing w:before="0" w:after="57"/>
      <w:ind w:left="1701" w:hanging="0"/>
    </w:pPr>
    <w:rPr/>
  </w:style>
  <w:style w:type="paragraph" w:styleId="82">
    <w:name w:val="TOC 8"/>
    <w:basedOn w:val="Normal"/>
    <w:next w:val="Normal"/>
    <w:uiPriority w:val="39"/>
    <w:unhideWhenUsed/>
    <w:pPr>
      <w:spacing w:before="0" w:after="57"/>
      <w:ind w:left="1984" w:hanging="0"/>
    </w:pPr>
    <w:rPr/>
  </w:style>
  <w:style w:type="paragraph" w:styleId="92">
    <w:name w:val="TOC 9"/>
    <w:basedOn w:val="Normal"/>
    <w:next w:val="Normal"/>
    <w:uiPriority w:val="39"/>
    <w:unhideWhenUsed/>
    <w:pPr>
      <w:spacing w:before="0" w:after="57"/>
      <w:ind w:left="2268" w:hanging="0"/>
    </w:pPr>
    <w:rPr/>
  </w:style>
  <w:style w:type="paragraph" w:styleId="Style26">
    <w:name w:val="Index Heading"/>
    <w:basedOn w:val="Style17"/>
    <w:pPr/>
    <w:rPr/>
  </w:style>
  <w:style w:type="paragraph" w:styleId="Style27">
    <w:name w:val="TOC Heading"/>
    <w:uiPriority w:val="39"/>
    <w:unhideWhenUsed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next w:val="Normal"/>
    <w:uiPriority w:val="99"/>
    <w:unhideWhenUsed/>
    <w:qFormat/>
    <w:pPr>
      <w:spacing w:before="0" w:after="0"/>
    </w:pPr>
    <w:rPr/>
  </w:style>
  <w:style w:type="paragraph" w:styleId="ListParagraph">
    <w:name w:val="List Paragraph"/>
    <w:basedOn w:val="Normal"/>
    <w:uiPriority w:val="34"/>
    <w:qFormat/>
    <w:pPr>
      <w:spacing w:before="0" w:after="200"/>
      <w:ind w:left="720" w:hanging="0"/>
      <w:contextualSpacing/>
    </w:pPr>
    <w:rPr/>
  </w:style>
  <w:style w:type="paragraph" w:styleId="BalloonText">
    <w:name w:val="Balloon Text"/>
    <w:basedOn w:val="Normal"/>
    <w:link w:val="Style14"/>
    <w:uiPriority w:val="99"/>
    <w:semiHidden/>
    <w:unhideWhenUsed/>
    <w:qFormat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ConsPlusTitle" w:customStyle="1">
    <w:name w:val="ConsPlusTitle"/>
    <w:qFormat/>
    <w:pPr>
      <w:widowControl w:val="false"/>
      <w:suppressAutoHyphens w:val="true"/>
      <w:bidi w:val="0"/>
      <w:spacing w:before="0" w:after="0"/>
      <w:jc w:val="left"/>
    </w:pPr>
    <w:rPr>
      <w:rFonts w:ascii="Calibri" w:hAnsi="Calibri" w:eastAsia="Arial" w:cs="Calibri" w:eastAsiaTheme="minorEastAsia"/>
      <w:b/>
      <w:color w:val="auto"/>
      <w:kern w:val="0"/>
      <w:sz w:val="22"/>
      <w:szCs w:val="22"/>
      <w:lang w:val="ru-RU" w:eastAsia="ru-RU" w:bidi="ar-SA"/>
    </w:rPr>
  </w:style>
  <w:style w:type="paragraph" w:styleId="Style28" w:customStyle="1">
    <w:name w:val="Колонтитул"/>
    <w:basedOn w:val="Normal"/>
    <w:qFormat/>
    <w:pPr/>
    <w:rPr/>
  </w:style>
  <w:style w:type="paragraph" w:styleId="Style29">
    <w:name w:val="Header"/>
    <w:basedOn w:val="Normal"/>
    <w:link w:val="Style15"/>
    <w:uiPriority w:val="99"/>
    <w:unhideWhenUsed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30">
    <w:name w:val="Footer"/>
    <w:basedOn w:val="Normal"/>
    <w:link w:val="Style16"/>
    <w:uiPriority w:val="99"/>
    <w:unhideWhenUsed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13">
    <w:name w:val="Plain Table 1"/>
    <w:basedOn w:val="a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firstRow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tblPr/>
      <w:tcPr>
        <w:shd w:val="clear" w:color="F2F2F2" w:fill="F2F2F2" w:themeFill="text1" w:themeFillTint="d"/>
      </w:tcPr>
    </w:tblStylePr>
    <w:tblStylePr w:type="band1Horz">
      <w:tblPr/>
      <w:tcPr>
        <w:shd w:val="clear" w:color="F2F2F2" w:fill="F2F2F2" w:themeFill="text1" w:themeFillTint="d"/>
      </w:tcPr>
    </w:tblStylePr>
  </w:style>
  <w:style w:type="table" w:styleId="24">
    <w:name w:val="Plain Table 2"/>
    <w:basedOn w:val="a1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b/>
        <w:color w:val="404040"/>
        <w:sz w:val="22"/>
      </w:rPr>
      <w:tblPr/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32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Row">
      <w:rPr>
        <w:b/>
        <w:caps/>
        <w:color w:val="404040"/>
      </w:rPr>
      <w:tblPr/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styleId="52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000000" w:themeColor="text1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5B9BD5" w:themeColor="accent1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ED7D31" w:themeColor="accent2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A5A5A5" w:themeColor="accent3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FFC000" w:themeColor="accent4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4472C4" w:themeColor="accent5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70AD47" w:themeColor="accent6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ED7D31" w:themeColor="accent2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FC000" w:themeColor="accent4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</w:tcBorders>
        <w:shd w:val="clear" w:color="68A2D8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color="5B9BD5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EEBF6" w:fill="DEEBF6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EEBF6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  <w:shd w:val="clear" w:color="F4B184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color="ED7D31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  <w:shd w:val="clear" w:color="A5A5A5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color="A5A5A5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  <w:shd w:val="clear" w:color="FFD865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color="FFC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  <w:shd w:val="clear" w:color="4472C4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color="4472C4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  <w:shd w:val="clear" w:color="70AD47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5B9BD5" w:fill="5B9BD5" w:themeFill="accent1"/>
      </w:tcPr>
    </w:tblStylePr>
    <w:tblStylePr w:type="firstCol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Col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band1Vert">
      <w:tblPr/>
      <w:tcPr>
        <w:shd w:val="clear" w:color="B3D0EB" w:fill="B3D0EB" w:themeFill="accent1" w:themeFillTint="75"/>
      </w:tcPr>
    </w:tblStylePr>
    <w:tblStylePr w:type="band1Horz">
      <w:tblPr/>
      <w:tcPr>
        <w:shd w:val="clear" w:color="B3D0EB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ED7D31" w:fill="ED7D31" w:themeFill="accent2"/>
      </w:tcPr>
    </w:tblStylePr>
    <w:tblStylePr w:type="fir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A5A5A5" w:fill="A5A5A5" w:themeFill="accent3"/>
      </w:tcPr>
    </w:tblStylePr>
    <w:tblStylePr w:type="fir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FFC000" w:fill="FFC000" w:themeFill="accent4"/>
      </w:tcPr>
    </w:tblStylePr>
    <w:tblStylePr w:type="fir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4472C4" w:fill="4472C4" w:themeFill="accent5"/>
      </w:tcPr>
    </w:tblStylePr>
    <w:tblStylePr w:type="firstCol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Col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band1Vert">
      <w:tblPr/>
      <w:tcPr>
        <w:shd w:val="clear" w:color="A9BEE4" w:fill="A9BEE4" w:themeFill="accent5" w:themeFillTint="75"/>
      </w:tcPr>
    </w:tblStylePr>
    <w:tblStylePr w:type="band1Horz">
      <w:tblPr/>
      <w:tcPr>
        <w:shd w:val="clear" w:color="A9BEE4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70AD47" w:fill="70AD47" w:themeFill="accent6"/>
      </w:tcPr>
    </w:tblStylePr>
    <w:tblStylePr w:type="fir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Row">
      <w:rPr>
        <w:b/>
        <w:color w:val="7F7F7F" w:themeColor="text1" w:themeTint="80" w:themeShade="95"/>
      </w:rPr>
      <w:tblPr/>
    </w:tblStylePr>
    <w:tblStylePr w:type="firstCol">
      <w:rPr>
        <w:b/>
        <w:color w:val="7F7F7F" w:themeColor="text1" w:themeTint="80" w:themeShade="95"/>
      </w:rPr>
      <w:tblPr/>
    </w:tblStylePr>
    <w:tblStylePr w:type="lastCol">
      <w:rPr>
        <w:b/>
        <w:color w:val="7F7F7F" w:themeColor="text1" w:themeTint="80" w:themeShade="95"/>
      </w:rPr>
      <w:tblPr/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  <w:tblPr/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color="5B9BD5" w:themeColor="accent1" w:sz="12" w:space="0"/>
        </w:tcBorders>
      </w:tcPr>
    </w:tblStylePr>
    <w:tblStylePr w:type="lastRow">
      <w:rPr>
        <w:b/>
        <w:color w:val="ACCCEA" w:themeColor="accent1" w:themeTint="80" w:themeShade="95"/>
      </w:rPr>
      <w:tblPr/>
    </w:tblStylePr>
    <w:tblStylePr w:type="firstCol">
      <w:rPr>
        <w:b/>
        <w:color w:val="ACCCEA" w:themeColor="accent1" w:themeTint="80" w:themeShade="95"/>
      </w:rPr>
      <w:tblPr/>
    </w:tblStylePr>
    <w:tblStylePr w:type="lastCol">
      <w:rPr>
        <w:b/>
        <w:color w:val="ACCCEA" w:themeColor="accent1" w:themeTint="80" w:themeShade="95"/>
      </w:rPr>
      <w:tblPr/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  <w:tblPr/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color="ED7D31" w:themeColor="accent2" w:sz="12" w:space="0"/>
        </w:tcBorders>
      </w:tcPr>
    </w:tblStylePr>
    <w:tblStylePr w:type="lastRow">
      <w:rPr>
        <w:b/>
        <w:color w:val="F4B184" w:themeColor="accent2" w:themeTint="97" w:themeShade="95"/>
      </w:rPr>
      <w:tblPr/>
    </w:tblStylePr>
    <w:tblStylePr w:type="firstCol">
      <w:rPr>
        <w:b/>
        <w:color w:val="F4B184" w:themeColor="accent2" w:themeTint="97" w:themeShade="95"/>
      </w:rPr>
      <w:tblPr/>
    </w:tblStylePr>
    <w:tblStylePr w:type="lastCol">
      <w:rPr>
        <w:b/>
        <w:color w:val="F4B184" w:themeColor="accent2" w:themeTint="97" w:themeShade="95"/>
      </w:rPr>
      <w:tblPr/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  <w:tblPr/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color="A5A5A5" w:themeColor="accent3" w:sz="12" w:space="0"/>
        </w:tcBorders>
      </w:tcPr>
    </w:tblStylePr>
    <w:tblStylePr w:type="lastRow">
      <w:rPr>
        <w:b/>
        <w:color w:val="A5A5A5" w:themeColor="accent3" w:themeTint="fe" w:themeShade="95"/>
      </w:rPr>
      <w:tblPr/>
    </w:tblStylePr>
    <w:tblStylePr w:type="firstCol">
      <w:rPr>
        <w:b/>
        <w:color w:val="A5A5A5" w:themeColor="accent3" w:themeTint="fe" w:themeShade="95"/>
      </w:rPr>
      <w:tblPr/>
    </w:tblStylePr>
    <w:tblStylePr w:type="lastCol">
      <w:rPr>
        <w:b/>
        <w:color w:val="A5A5A5" w:themeColor="accent3" w:themeTint="fe" w:themeShade="95"/>
      </w:rPr>
      <w:tblPr/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  <w:tblPr/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color="FFC000" w:themeColor="accent4" w:sz="12" w:space="0"/>
        </w:tcBorders>
      </w:tcPr>
    </w:tblStylePr>
    <w:tblStylePr w:type="lastRow">
      <w:rPr>
        <w:b/>
        <w:color w:val="FFD865" w:themeColor="accent4" w:themeTint="9a" w:themeShade="95"/>
      </w:rPr>
      <w:tblPr/>
    </w:tblStylePr>
    <w:tblStylePr w:type="firstCol">
      <w:rPr>
        <w:b/>
        <w:color w:val="FFD865" w:themeColor="accent4" w:themeTint="9a" w:themeShade="95"/>
      </w:rPr>
      <w:tblPr/>
    </w:tblStylePr>
    <w:tblStylePr w:type="lastCol">
      <w:rPr>
        <w:b/>
        <w:color w:val="FFD865" w:themeColor="accent4" w:themeTint="9a" w:themeShade="95"/>
      </w:rPr>
      <w:tblPr/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  <w:tblPr/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color="4472C4" w:themeColor="accent5" w:sz="12" w:space="0"/>
        </w:tcBorders>
      </w:tcPr>
    </w:tblStylePr>
    <w:tblStylePr w:type="lastRow">
      <w:rPr>
        <w:b/>
        <w:color w:val="254175" w:themeColor="accent5" w:themeShade="95"/>
      </w:rPr>
      <w:tblPr/>
    </w:tblStylePr>
    <w:tblStylePr w:type="firstCol">
      <w:rPr>
        <w:b/>
        <w:color w:val="254175" w:themeColor="accent5" w:themeShade="95"/>
      </w:rPr>
      <w:tblPr/>
    </w:tblStylePr>
    <w:tblStylePr w:type="lastCol">
      <w:rPr>
        <w:b/>
        <w:color w:val="254175" w:themeColor="accent5" w:themeShade="95"/>
      </w:rPr>
      <w:tblPr/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  <w:tblPr/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color="70AD47" w:themeColor="accent6" w:sz="12" w:space="0"/>
        </w:tcBorders>
      </w:tcPr>
    </w:tblStylePr>
    <w:tblStylePr w:type="lastRow">
      <w:rPr>
        <w:b/>
        <w:color w:val="254175" w:themeColor="accent5" w:themeShade="95"/>
      </w:rPr>
      <w:tblPr/>
    </w:tblStylePr>
    <w:tblStylePr w:type="firstCol">
      <w:rPr>
        <w:b/>
        <w:color w:val="254175" w:themeColor="accent5" w:themeShade="95"/>
      </w:rPr>
      <w:tblPr/>
    </w:tblStylePr>
    <w:tblStylePr w:type="lastCol">
      <w:rPr>
        <w:b/>
        <w:color w:val="254175" w:themeColor="accent5" w:themeShade="95"/>
      </w:rPr>
      <w:tblPr/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254175" w:themeColor="accent5" w:themeShade="95"/>
        <w:sz w:val="22"/>
      </w:rPr>
      <w:tblPr/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000000" w:themeColor="text1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000000" w:themeColor="text1" w:sz="4" w:space="0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single" w:color="000000" w:themeColor="tex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d"/>
      </w:tcPr>
    </w:tblStylePr>
    <w:tblStylePr w:type="band2Horz">
      <w:rPr>
        <w:color w:val="7F7F7F" w:themeColor="text1" w:themeTint="80" w:themeShade="95"/>
        <w:sz w:val="22"/>
      </w:rPr>
      <w:tblPr/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5B9BD5" w:themeColor="accent1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color="5B9BD5" w:themeColor="accen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5B9BD5" w:themeColor="accent1" w:sz="4" w:space="0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color="auto" w:sz="0" w:space="0"/>
          <w:left w:val="single" w:color="5B9BD5" w:themeColor="accen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  <w:tblPr/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ED7D31" w:themeColor="accent2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color="ED7D31" w:themeColor="accent2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ED7D31" w:themeColor="accent2" w:sz="4" w:space="0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color="auto" w:sz="0" w:space="0"/>
          <w:left w:val="single" w:color="ED7D31" w:themeColor="accent2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  <w:tblPr/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A5A5A5" w:themeColor="accent3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color="A5A5A5" w:themeColor="accent3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A5A5A5" w:themeColor="accent3" w:sz="4" w:space="0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color="auto" w:sz="0" w:space="0"/>
          <w:left w:val="single" w:color="A5A5A5" w:themeColor="accent3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  <w:tblPr/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FFC000" w:themeColor="accent4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color="FFC000" w:themeColor="accent4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FFC000" w:themeColor="accent4" w:sz="4" w:space="0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color="auto" w:sz="0" w:space="0"/>
          <w:left w:val="single" w:color="FFC000" w:themeColor="accent4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  <w:tblPr/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4472C4" w:themeColor="accent5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color="4472C4" w:themeColor="accent5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4472C4" w:themeColor="accent5" w:sz="4" w:space="0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color="auto" w:sz="0" w:space="0"/>
          <w:left w:val="single" w:color="4472C4" w:themeColor="accent5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  <w:tblPr/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70AD47" w:themeColor="accent6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color="70AD47" w:themeColor="accent6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70AD47" w:themeColor="accent6" w:sz="4" w:space="0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color="auto" w:sz="0" w:space="0"/>
          <w:left w:val="single" w:color="70AD47" w:themeColor="accent6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  <w:tblPr/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tblPr/>
      <w:tcPr>
        <w:shd w:val="clear" w:color="D5E5F4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tblPr/>
      <w:tcPr>
        <w:shd w:val="clear" w:color="CFDBF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5B9BD5" w:themeColor="accent1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5B9BD5" w:themeColor="accent1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ED7D31" w:themeColor="accent2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ED7D31" w:themeColor="accent2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A5A5A5" w:themeColor="accent3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A5A5A5" w:themeColor="accent3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FFC000" w:themeColor="accent4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FFC000" w:themeColor="accent4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4472C4" w:themeColor="accent5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4472C4" w:themeColor="accent5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70AD47" w:themeColor="accent6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70AD47" w:themeColor="accent6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firstRow">
      <w:rPr>
        <w:b/>
        <w:color w:val="FFFFFF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ED7D31" w:themeColor="accent2" w:sz="4" w:space="0"/>
          <w:right w:val="single" w:color="ED7D31" w:themeColor="accent2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ED7D31" w:themeColor="accent2" w:sz="4" w:space="0"/>
          <w:bottom w:val="single" w:color="ED7D31" w:themeColor="accent2" w:sz="4" w:space="0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firstRow">
      <w:rPr>
        <w:b/>
        <w:color w:val="FFFFFF"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A5A5A5" w:themeColor="accent3" w:sz="4" w:space="0"/>
          <w:right w:val="single" w:color="A5A5A5" w:themeColor="accent3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A5A5A5" w:themeColor="accent3" w:sz="4" w:space="0"/>
          <w:bottom w:val="single" w:color="A5A5A5" w:themeColor="accent3" w:sz="4" w:space="0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firstRow">
      <w:rPr>
        <w:b/>
        <w:color w:val="FFFFFF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FFC000" w:themeColor="accent4" w:sz="4" w:space="0"/>
          <w:right w:val="single" w:color="FFC000" w:themeColor="accent4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FFC000" w:themeColor="accent4" w:sz="4" w:space="0"/>
          <w:bottom w:val="single" w:color="FFC000" w:themeColor="accent4" w:sz="4" w:space="0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firstRow">
      <w:rPr>
        <w:b/>
        <w:color w:val="FFFFFF"/>
        <w:sz w:val="22"/>
      </w:rPr>
      <w:tblPr/>
      <w:tcPr>
        <w:shd w:val="clear" w:color="8DA9DB" w:fill="8DA9DB" w:themeFill="accent5" w:themeFillTint="9a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4472C4" w:themeColor="accent5" w:sz="4" w:space="0"/>
          <w:right w:val="single" w:color="4472C4" w:themeColor="accent5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4472C4" w:themeColor="accent5" w:sz="4" w:space="0"/>
          <w:bottom w:val="single" w:color="4472C4" w:themeColor="accent5" w:sz="4" w:space="0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firstRow">
      <w:rPr>
        <w:b/>
        <w:color w:val="FFFFFF"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70AD47" w:themeColor="accent6" w:sz="4" w:space="0"/>
          <w:right w:val="single" w:color="70AD47" w:themeColor="accent6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70AD47" w:themeColor="accent6" w:sz="4" w:space="0"/>
          <w:bottom w:val="single" w:color="70AD47" w:themeColor="accent6" w:sz="4" w:space="0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text1" w:sz="32" w:space="0"/>
          <w:bottom w:val="single" w:color="FFFFFF" w:themeColor="light1" w:sz="12" w:space="0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tex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000000" w:themeColor="tex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5B9BD5" w:themeColor="accent1" w:sz="32" w:space="0"/>
          <w:bottom w:val="single" w:color="FFFFFF" w:themeColor="light1" w:sz="12" w:space="0"/>
        </w:tcBorders>
        <w:shd w:val="clear" w:color="5B9BD5" w:fill="5B9BD5" w:themeFill="accent1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5B9BD5" w:fill="5B9BD5" w:themeFill="accent1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fill="5B9BD5" w:themeFill="accent1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ED7D31" w:themeColor="accent2" w:sz="32" w:space="0"/>
          <w:bottom w:val="single" w:color="FFFFFF" w:themeColor="light1" w:sz="12" w:space="0"/>
        </w:tcBorders>
        <w:shd w:val="clear" w:color="F4B184" w:fill="F4B184" w:themeFill="accent2" w:themeFillTint="97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ED7D31" w:themeColor="accent2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ED7D31" w:themeColor="accent2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A5A5A5" w:themeColor="accent3" w:sz="32" w:space="0"/>
          <w:bottom w:val="single" w:color="FFFFFF" w:themeColor="light1" w:sz="12" w:space="0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A5A5A5" w:themeColor="accent3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A5A5A5" w:themeColor="accent3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FFC000" w:themeColor="accent4" w:sz="32" w:space="0"/>
          <w:bottom w:val="single" w:color="FFFFFF" w:themeColor="light1" w:sz="12" w:space="0"/>
        </w:tcBorders>
        <w:shd w:val="clear" w:color="FFD865" w:fill="FFD865" w:themeFill="accent4" w:themeFillTint="9a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FFC000" w:themeColor="accent4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FFC000" w:themeColor="accent4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4472C4" w:themeColor="accent5" w:sz="32" w:space="0"/>
          <w:bottom w:val="single" w:color="FFFFFF" w:themeColor="light1" w:sz="12" w:space="0"/>
        </w:tcBorders>
        <w:shd w:val="clear" w:color="8DA9DB" w:fill="8DA9DB" w:themeFill="accent5" w:themeFillTint="9a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4472C4" w:themeColor="accent5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4472C4" w:themeColor="accent5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8DA9DB" w:fill="8DA9DB" w:themeFill="accent5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DA9DB" w:fill="8DA9DB" w:themeFill="accent5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DA9DB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70AD47" w:themeColor="accent6" w:sz="32" w:space="0"/>
          <w:bottom w:val="single" w:color="FFFFFF" w:themeColor="light1" w:sz="12" w:space="0"/>
        </w:tcBorders>
        <w:shd w:val="clear" w:color="A9D08E" w:fill="A9D08E" w:themeFill="accent6" w:themeFillTint="98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70AD47" w:themeColor="accent6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70AD47" w:themeColor="accent6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firstRow"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000000" w:themeColor="text1"/>
      </w:rPr>
      <w:tblPr/>
    </w:tblStylePr>
    <w:tblStylePr w:type="lastCol">
      <w:rPr>
        <w:b/>
        <w:color w:val="000000" w:themeColor="text1"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  <w:tblPr/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color="5B9BD5" w:themeColor="accent1" w:sz="4" w:space="0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color="5B9BD5" w:themeColor="accent1" w:sz="4" w:space="0"/>
        </w:tcBorders>
      </w:tcPr>
    </w:tblStylePr>
    <w:tblStylePr w:type="firstCol">
      <w:rPr>
        <w:b/>
        <w:color w:val="245A8D" w:themeColor="accent1" w:themeShade="95"/>
      </w:rPr>
      <w:tblPr/>
    </w:tblStylePr>
    <w:tblStylePr w:type="lastCol">
      <w:rPr>
        <w:b/>
        <w:color w:val="245A8D" w:themeColor="accent1" w:themeShade="95"/>
      </w:rPr>
      <w:tblPr/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  <w:tblPr/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color="ED7D31" w:themeColor="accent2" w:sz="4" w:space="0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color="ED7D31" w:themeColor="accent2" w:sz="4" w:space="0"/>
        </w:tcBorders>
      </w:tcPr>
    </w:tblStylePr>
    <w:tblStylePr w:type="firstCol">
      <w:rPr>
        <w:b/>
        <w:color w:val="F4B184" w:themeColor="accent2" w:themeTint="97" w:themeShade="95"/>
      </w:rPr>
      <w:tblPr/>
    </w:tblStylePr>
    <w:tblStylePr w:type="lastCol">
      <w:rPr>
        <w:b/>
        <w:color w:val="F4B184" w:themeColor="accent2" w:themeTint="97" w:themeShade="95"/>
      </w:rPr>
      <w:tblPr/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  <w:tblPr/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color="A5A5A5" w:themeColor="accent3" w:sz="4" w:space="0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color="A5A5A5" w:themeColor="accent3" w:sz="4" w:space="0"/>
        </w:tcBorders>
      </w:tcPr>
    </w:tblStylePr>
    <w:tblStylePr w:type="firstCol">
      <w:rPr>
        <w:b/>
        <w:color w:val="C9C9C9" w:themeColor="accent3" w:themeTint="98" w:themeShade="95"/>
      </w:rPr>
      <w:tblPr/>
    </w:tblStylePr>
    <w:tblStylePr w:type="lastCol">
      <w:rPr>
        <w:b/>
        <w:color w:val="C9C9C9" w:themeColor="accent3" w:themeTint="98" w:themeShade="95"/>
      </w:rPr>
      <w:tblPr/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  <w:tblPr/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color="FFC000" w:themeColor="accent4" w:sz="4" w:space="0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color="FFC000" w:themeColor="accent4" w:sz="4" w:space="0"/>
        </w:tcBorders>
      </w:tcPr>
    </w:tblStylePr>
    <w:tblStylePr w:type="firstCol">
      <w:rPr>
        <w:b/>
        <w:color w:val="FFD865" w:themeColor="accent4" w:themeTint="9a" w:themeShade="95"/>
      </w:rPr>
      <w:tblPr/>
    </w:tblStylePr>
    <w:tblStylePr w:type="lastCol">
      <w:rPr>
        <w:b/>
        <w:color w:val="FFD865" w:themeColor="accent4" w:themeTint="9a" w:themeShade="95"/>
      </w:rPr>
      <w:tblPr/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  <w:tblPr/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color="4472C4" w:themeColor="accent5" w:sz="4" w:space="0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color="4472C4" w:themeColor="accent5" w:sz="4" w:space="0"/>
        </w:tcBorders>
      </w:tcPr>
    </w:tblStylePr>
    <w:tblStylePr w:type="firstCol">
      <w:rPr>
        <w:b/>
        <w:color w:val="8DA9DB" w:themeColor="accent5" w:themeTint="9a" w:themeShade="95"/>
      </w:rPr>
      <w:tblPr/>
    </w:tblStylePr>
    <w:tblStylePr w:type="lastCol">
      <w:rPr>
        <w:b/>
        <w:color w:val="8DA9DB" w:themeColor="accent5" w:themeTint="9a" w:themeShade="95"/>
      </w:rPr>
      <w:tblPr/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  <w:tblPr/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color="70AD47" w:themeColor="accent6" w:sz="4" w:space="0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color="70AD47" w:themeColor="accent6" w:sz="4" w:space="0"/>
        </w:tcBorders>
      </w:tcPr>
    </w:tblStylePr>
    <w:tblStylePr w:type="firstCol">
      <w:rPr>
        <w:b/>
        <w:color w:val="A9D08E" w:themeColor="accent6" w:themeTint="98" w:themeShade="95"/>
      </w:rPr>
      <w:tblPr/>
    </w:tblStylePr>
    <w:tblStylePr w:type="lastCol">
      <w:rPr>
        <w:b/>
        <w:color w:val="A9D08E" w:themeColor="accent6" w:themeTint="98" w:themeShade="95"/>
      </w:rPr>
      <w:tblPr/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  <w:tblPr/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000000" w:themeColor="text1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000000" w:themeColor="text1" w:sz="4" w:space="0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single" w:color="000000" w:themeColor="tex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  <w:tblPr/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color="5B9BD5" w:themeColor="accent1" w:sz="4" w:space="0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5B9BD5" w:themeColor="accent1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color="5B9BD5" w:themeColor="accen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5B9BD5" w:themeColor="accent1" w:sz="4" w:space="0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color="auto" w:sz="0" w:space="0"/>
          <w:left w:val="single" w:color="5B9BD5" w:themeColor="accen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  <w:tblPr/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ED7D31" w:themeColor="accent2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color="ED7D31" w:themeColor="accent2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ED7D31" w:themeColor="accent2" w:sz="4" w:space="0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color="auto" w:sz="0" w:space="0"/>
          <w:left w:val="single" w:color="ED7D31" w:themeColor="accent2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  <w:tblPr/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A5A5A5" w:themeColor="accent3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color="A5A5A5" w:themeColor="accent3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A5A5A5" w:themeColor="accent3" w:sz="4" w:space="0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color="auto" w:sz="0" w:space="0"/>
          <w:left w:val="single" w:color="A5A5A5" w:themeColor="accent3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  <w:tblPr/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FFC000" w:themeColor="accent4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color="FFC000" w:themeColor="accent4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FFC000" w:themeColor="accent4" w:sz="4" w:space="0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color="auto" w:sz="0" w:space="0"/>
          <w:left w:val="single" w:color="FFC000" w:themeColor="accent4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  <w:tblPr/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4472C4" w:themeColor="accent5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color="4472C4" w:themeColor="accent5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4472C4" w:themeColor="accent5" w:sz="4" w:space="0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color="auto" w:sz="0" w:space="0"/>
          <w:left w:val="single" w:color="4472C4" w:themeColor="accent5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  <w:tblPr/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70AD47" w:themeColor="accent6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color="70AD47" w:themeColor="accent6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70AD47" w:themeColor="accent6" w:sz="4" w:space="0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color="auto" w:sz="0" w:space="0"/>
          <w:left w:val="single" w:color="70AD47" w:themeColor="accent6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  <w:tblPr/>
    </w:tblStylePr>
  </w:style>
  <w:style w:type="table" w:customStyle="1" w:styleId="Lined-Accent">
    <w:name w:val="Lined - Accent"/>
    <w:basedOn w:val="a1"/>
    <w:uiPriority w:val="99"/>
    <w:rPr>
      <w:lang w:eastAsia="ru-RU"/>
      <w:color w:val="404040"/>
      <w:sz w:val="20"/>
      <w:szCs w:val="2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Pr>
      <w:lang w:eastAsia="ru-RU"/>
      <w:color w:val="404040"/>
      <w:sz w:val="20"/>
      <w:szCs w:val="2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lang w:eastAsia="ru-RU"/>
      <w:color w:val="404040"/>
      <w:sz w:val="20"/>
      <w:szCs w:val="2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lang w:eastAsia="ru-RU"/>
      <w:color w:val="404040"/>
      <w:sz w:val="20"/>
      <w:szCs w:val="2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lang w:eastAsia="ru-RU"/>
      <w:color w:val="404040"/>
      <w:sz w:val="20"/>
      <w:szCs w:val="2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lang w:eastAsia="ru-RU"/>
      <w:color w:val="404040"/>
      <w:sz w:val="20"/>
      <w:szCs w:val="2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4472C4" w:fill="4472C4" w:themeFill="accent5"/>
      </w:tcPr>
    </w:tblStylePr>
    <w:tblStylePr w:type="lastRow">
      <w:rPr>
        <w:color w:val="F2F2F2"/>
        <w:sz w:val="22"/>
      </w:rPr>
      <w:tblPr/>
      <w:tcPr>
        <w:shd w:val="clear" w:color="4472C4" w:fill="4472C4" w:themeFill="accent5"/>
      </w:tcPr>
    </w:tblStylePr>
    <w:tblStylePr w:type="firstCol">
      <w:rPr>
        <w:color w:val="F2F2F2"/>
        <w:sz w:val="22"/>
      </w:rPr>
      <w:tblPr/>
      <w:tcPr>
        <w:shd w:val="clear" w:color="4472C4" w:fill="4472C4" w:themeFill="accent5"/>
      </w:tcPr>
    </w:tblStylePr>
    <w:tblStylePr w:type="lastCol">
      <w:rPr>
        <w:color w:val="F2F2F2"/>
        <w:sz w:val="22"/>
      </w:rPr>
      <w:tblPr/>
      <w:tcPr>
        <w:shd w:val="clear" w:color="4472C4" w:fill="4472C4" w:themeFill="accent5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lang w:eastAsia="ru-RU"/>
      <w:color w:val="404040"/>
      <w:sz w:val="20"/>
      <w:szCs w:val="2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  <w:insideH w:val="single" w:color="5B9BD5" w:themeColor="accent1" w:sz="4" w:space="0"/>
        <w:insideV w:val="single" w:color="5B9BD5" w:themeColor="accent1" w:sz="4" w:space="0"/>
      </w:tblBorders>
    </w:tblPr>
    <w:tblStylePr w:type="fir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ED7D31" w:themeColor="accent2" w:sz="4" w:space="0"/>
        <w:left w:val="single" w:color="ED7D31" w:themeColor="accent2" w:sz="4" w:space="0"/>
        <w:bottom w:val="single" w:color="ED7D31" w:themeColor="accent2" w:sz="4" w:space="0"/>
        <w:right w:val="single" w:color="ED7D31" w:themeColor="accent2" w:sz="4" w:space="0"/>
        <w:insideH w:val="single" w:color="ED7D31" w:themeColor="accent2" w:sz="4" w:space="0"/>
        <w:insideV w:val="single" w:color="ED7D31" w:themeColor="accent2" w:sz="4" w:space="0"/>
      </w:tblBorders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A5A5A5" w:themeColor="accent3" w:sz="4" w:space="0"/>
        <w:left w:val="single" w:color="A5A5A5" w:themeColor="accent3" w:sz="4" w:space="0"/>
        <w:bottom w:val="single" w:color="A5A5A5" w:themeColor="accent3" w:sz="4" w:space="0"/>
        <w:right w:val="single" w:color="A5A5A5" w:themeColor="accent3" w:sz="4" w:space="0"/>
        <w:insideH w:val="single" w:color="A5A5A5" w:themeColor="accent3" w:sz="4" w:space="0"/>
        <w:insideV w:val="single" w:color="A5A5A5" w:themeColor="accent3" w:sz="4" w:space="0"/>
      </w:tblBorders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FFC000" w:themeColor="accent4" w:sz="4" w:space="0"/>
        <w:left w:val="single" w:color="FFC000" w:themeColor="accent4" w:sz="4" w:space="0"/>
        <w:bottom w:val="single" w:color="FFC000" w:themeColor="accent4" w:sz="4" w:space="0"/>
        <w:right w:val="single" w:color="FFC000" w:themeColor="accent4" w:sz="4" w:space="0"/>
        <w:insideH w:val="single" w:color="FFC000" w:themeColor="accent4" w:sz="4" w:space="0"/>
        <w:insideV w:val="single" w:color="FFC000" w:themeColor="accent4" w:sz="4" w:space="0"/>
      </w:tblBorders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color w:val="F2F2F2"/>
        <w:sz w:val="22"/>
      </w:rPr>
      <w:tblPr/>
      <w:tcPr>
        <w:shd w:val="clear" w:color="4472C4" w:fill="4472C4" w:themeFill="accent5"/>
      </w:tcPr>
    </w:tblStylePr>
    <w:tblStylePr w:type="lastRow">
      <w:rPr>
        <w:color w:val="F2F2F2"/>
        <w:sz w:val="22"/>
      </w:rPr>
      <w:tblPr/>
      <w:tcPr>
        <w:shd w:val="clear" w:color="4472C4" w:fill="4472C4" w:themeFill="accent5"/>
      </w:tcPr>
    </w:tblStylePr>
    <w:tblStylePr w:type="firstCol">
      <w:rPr>
        <w:color w:val="F2F2F2"/>
        <w:sz w:val="22"/>
      </w:rPr>
      <w:tblPr/>
      <w:tcPr>
        <w:shd w:val="clear" w:color="4472C4" w:fill="4472C4" w:themeFill="accent5"/>
      </w:tcPr>
    </w:tblStylePr>
    <w:tblStylePr w:type="lastCol">
      <w:rPr>
        <w:color w:val="F2F2F2"/>
        <w:sz w:val="22"/>
      </w:rPr>
      <w:tblPr/>
      <w:tcPr>
        <w:shd w:val="clear" w:color="4472C4" w:fill="4472C4" w:themeFill="accent5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text1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000000" w:themeColor="text1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5B9BD5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5B9BD5" w:themeColor="accent1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5B9BD5" w:themeColor="accent1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ED7D31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ED7D31" w:themeColor="accent2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ED7D31" w:themeColor="accent2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A5A5A5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A5A5A5" w:themeColor="accent3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A5A5A5" w:themeColor="accent3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FFC000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FFC000" w:themeColor="accent4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FFC000" w:themeColor="accent4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4472C4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4472C4" w:themeColor="accent5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4472C4" w:themeColor="accent5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70AD47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70AD47" w:themeColor="accent6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70AD47" w:themeColor="accent6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</w:style>
  <w:style w:type="table" w:styleId="aff1">
    <w:name w:val="Table Grid"/>
    <w:basedOn w:val="a1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Application>LibreOffice/7.5.3.2$Windows_X86_64 LibreOffice_project/9f56dff12ba03b9acd7730a5a481eea045e468f3</Application>
  <AppVersion>15.0000</AppVersion>
  <Pages>2</Pages>
  <Words>453</Words>
  <Characters>3442</Characters>
  <CharactersWithSpaces>3889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2023-06-05T10:34:00Z</dcterms:created>
  <dc:creator>Мурзаева Ольга Олеговна</dc:creator>
  <dc:description/>
  <dc:language>ru-RU</dc:language>
  <cp:lastModifiedBy/>
  <dcterms:modified xsi:type="dcterms:W3CDTF">2023-11-07T11:05:46Z</dcterms:modified>
  <cp:revision>21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